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02118285c689e5a04834bc930cc5ea3f002ca46"/>
      <w:r>
        <w:t xml:space="preserve">Handbuch zu technischen und organisatorischen Maßnahmen zum Datenschutz an der HTU Wien</w:t>
      </w:r>
      <w:bookmarkEnd w:id="20"/>
    </w:p>
    <w:p>
      <w:pPr>
        <w:pStyle w:val="Heading2"/>
      </w:pPr>
      <w:bookmarkStart w:id="21" w:name="grundlagen"/>
      <w:r>
        <w:t xml:space="preserve">Grundlagen</w:t>
      </w:r>
      <w:bookmarkEnd w:id="21"/>
    </w:p>
    <w:p>
      <w:pPr>
        <w:pStyle w:val="Heading3"/>
      </w:pPr>
      <w:bookmarkStart w:id="22" w:name="rechtliche-regelungen"/>
      <w:r>
        <w:t xml:space="preserve">Rechtliche Regelungen</w:t>
      </w:r>
      <w:bookmarkEnd w:id="22"/>
    </w:p>
    <w:p>
      <w:pPr>
        <w:pStyle w:val="FirstParagraph"/>
      </w:pPr>
      <w:r>
        <w:t xml:space="preserve">Das Recht auf Datenschutz ist ein Grundrecht und genießt damit umfangreichen</w:t>
      </w:r>
      <w:r>
        <w:t xml:space="preserve"> </w:t>
      </w:r>
      <w:r>
        <w:t xml:space="preserve">Schutz.</w:t>
      </w:r>
    </w:p>
    <w:p>
      <w:pPr>
        <w:pStyle w:val="BodyText"/>
      </w:pPr>
      <w:r>
        <w:t xml:space="preserve">Das Recht auf Datenschutz ist in der EU und in Österreich durch diverse</w:t>
      </w:r>
      <w:r>
        <w:t xml:space="preserve"> </w:t>
      </w:r>
      <w:r>
        <w:t xml:space="preserve">Rechtsnormen geregelt, allen voran die Datenschutz Grundverordnung (DSGVO) auch</w:t>
      </w:r>
      <w:r>
        <w:t xml:space="preserve"> </w:t>
      </w:r>
      <w:r>
        <w:t xml:space="preserve">bekannt unter dem englischen Titel General Data Protection Direcitve</w:t>
      </w:r>
      <w:r>
        <w:t xml:space="preserve"> </w:t>
      </w:r>
      <w:r>
        <w:t xml:space="preserve">(GDPR)</w:t>
      </w:r>
      <w:r>
        <w:t xml:space="preserve">[1]</w:t>
      </w:r>
      <w:r>
        <w:t xml:space="preserve">. Die DSGVO hat in allen EU Mitgliedsstaten rechtlich bindenden</w:t>
      </w:r>
      <w:r>
        <w:t xml:space="preserve"> </w:t>
      </w:r>
      <w:r>
        <w:t xml:space="preserve">Charakter und muss nich in nationales Recht umgesetzt werden (Im Unterschied zu</w:t>
      </w:r>
      <w:r>
        <w:t xml:space="preserve"> </w:t>
      </w:r>
      <w:r>
        <w:t xml:space="preserve">einer EU-Richtline), es gibt jedoch Gesetze die die Umsetzung der DSGVO genauer</w:t>
      </w:r>
      <w:r>
        <w:t xml:space="preserve"> </w:t>
      </w:r>
      <w:r>
        <w:t xml:space="preserve">spezifizieren, insbesondere in Österreich das Datenschutzgesetz</w:t>
      </w:r>
      <w:r>
        <w:t xml:space="preserve"> </w:t>
      </w:r>
      <w:r>
        <w:t xml:space="preserve">[2]</w:t>
      </w:r>
      <w:r>
        <w:t xml:space="preserve">.</w:t>
      </w:r>
    </w:p>
    <w:p>
      <w:pPr>
        <w:pStyle w:val="BodyText"/>
      </w:pPr>
      <w:r>
        <w:t xml:space="preserve">Die DSGVO gilt für alle Datenverarbeitungen die nicht rein persönlichen oder</w:t>
      </w:r>
      <w:r>
        <w:t xml:space="preserve"> </w:t>
      </w:r>
      <w:r>
        <w:t xml:space="preserve">Familiären Zweck haben.</w:t>
      </w:r>
    </w:p>
    <w:p>
      <w:pPr>
        <w:pStyle w:val="Heading3"/>
      </w:pPr>
      <w:bookmarkStart w:id="23" w:name="begriffsbestimmungen"/>
      <w:r>
        <w:t xml:space="preserve">Begriffsbestimmungen</w:t>
      </w:r>
      <w:bookmarkEnd w:id="23"/>
    </w:p>
    <w:p>
      <w:pPr>
        <w:pStyle w:val="Compact"/>
        <w:numPr>
          <w:numId w:val="1001"/>
          <w:ilvl w:val="0"/>
        </w:numPr>
      </w:pPr>
      <w:r>
        <w:t xml:space="preserve">Betroffene_r</w:t>
      </w:r>
      <w:r>
        <w:br w:type="textWrapping"/>
      </w:r>
      <w:r>
        <w:t xml:space="preserve">Lebendige, natürliche Person deren Daten gespeichert werden.</w:t>
      </w:r>
    </w:p>
    <w:p>
      <w:pPr>
        <w:pStyle w:val="Compact"/>
        <w:numPr>
          <w:numId w:val="1001"/>
          <w:ilvl w:val="0"/>
        </w:numPr>
      </w:pPr>
      <w:r>
        <w:t xml:space="preserve">Verantwortliche_r</w:t>
      </w:r>
      <w:r>
        <w:br w:type="textWrapping"/>
      </w:r>
      <w:r>
        <w:t xml:space="preserve">Person oder Organisation die die Daten kontrolliert und über deren Verwendung</w:t>
      </w:r>
      <w:r>
        <w:t xml:space="preserve"> </w:t>
      </w:r>
      <w:r>
        <w:t xml:space="preserve">entscheidet.</w:t>
      </w:r>
    </w:p>
    <w:p>
      <w:pPr>
        <w:pStyle w:val="Compact"/>
        <w:numPr>
          <w:numId w:val="1001"/>
          <w:ilvl w:val="0"/>
        </w:numPr>
      </w:pPr>
      <w:r>
        <w:t xml:space="preserve">Auftragsdatenverarbeiter_in</w:t>
      </w:r>
      <w:r>
        <w:br w:type="textWrapping"/>
      </w:r>
      <w:r>
        <w:t xml:space="preserve">Person oder Organisation die im Auftrag eines Verantwortlichen Daten</w:t>
      </w:r>
      <w:r>
        <w:t xml:space="preserve"> </w:t>
      </w:r>
      <w:r>
        <w:t xml:space="preserve">Verarbeitet, jedoch nicht selbst über die Verwendung entscheidet. Es muss</w:t>
      </w:r>
      <w:r>
        <w:t xml:space="preserve"> </w:t>
      </w:r>
      <w:r>
        <w:t xml:space="preserve">vertraglich und schriftlich festgelegt werden wie die Daten verarbeitet</w:t>
      </w:r>
      <w:r>
        <w:t xml:space="preserve"> </w:t>
      </w:r>
      <w:r>
        <w:t xml:space="preserve">werden.</w:t>
      </w:r>
    </w:p>
    <w:p>
      <w:pPr>
        <w:pStyle w:val="Compact"/>
        <w:numPr>
          <w:numId w:val="1001"/>
          <w:ilvl w:val="0"/>
        </w:numPr>
      </w:pPr>
      <w:r>
        <w:t xml:space="preserve">Weitere Empfänger_in</w:t>
      </w:r>
      <w:r>
        <w:br w:type="textWrapping"/>
      </w:r>
      <w:r>
        <w:t xml:space="preserve">Weitere Personen oder Organisationen die die Daten erhalten, die jedoch keine</w:t>
      </w:r>
      <w:r>
        <w:t xml:space="preserve"> </w:t>
      </w:r>
      <w:r>
        <w:t xml:space="preserve">Auftragsverarbeiter_innen sind, diese Personen oder Organisationen sind dann</w:t>
      </w:r>
      <w:r>
        <w:t xml:space="preserve"> </w:t>
      </w:r>
      <w:r>
        <w:t xml:space="preserve">wieder selbst Verantwortliche.</w:t>
      </w:r>
    </w:p>
    <w:p>
      <w:pPr>
        <w:pStyle w:val="Compact"/>
        <w:numPr>
          <w:numId w:val="1001"/>
          <w:ilvl w:val="0"/>
        </w:numPr>
      </w:pPr>
      <w:r>
        <w:t xml:space="preserve">Personenbezogene Daten</w:t>
      </w:r>
      <w:r>
        <w:br w:type="textWrapping"/>
      </w:r>
      <w:r>
        <w:t xml:space="preserve">"Personenbezogene Daten“ sind Angaben über Betroffene, deren Identität</w:t>
      </w:r>
      <w:r>
        <w:t xml:space="preserve"> </w:t>
      </w:r>
      <w:r>
        <w:t xml:space="preserve">bestimmt oder bestimmbar ist. Es sind alle Daten, die es ermöglichen, eine</w:t>
      </w:r>
      <w:r>
        <w:t xml:space="preserve"> </w:t>
      </w:r>
      <w:r>
        <w:t xml:space="preserve">Person zu bestimmen. z.B. Matrikelnummer, Name, Geburtsdatum, Adresse,</w:t>
      </w:r>
      <w:r>
        <w:t xml:space="preserve"> </w:t>
      </w:r>
      <w:r>
        <w:t xml:space="preserve">Geschlecht, Einkommen.</w:t>
      </w:r>
    </w:p>
    <w:p>
      <w:pPr>
        <w:pStyle w:val="Compact"/>
        <w:numPr>
          <w:numId w:val="1001"/>
          <w:ilvl w:val="0"/>
        </w:numPr>
      </w:pPr>
      <w:r>
        <w:t xml:space="preserve">Besonders schützenswerte Daten</w:t>
      </w:r>
      <w:r>
        <w:br w:type="textWrapping"/>
      </w:r>
      <w:r>
        <w:t xml:space="preserve">Besonders schützenswerte Daten laut Art. 9 DSGVO</w:t>
      </w:r>
      <w:r>
        <w:t xml:space="preserve"> </w:t>
      </w:r>
      <w:r>
        <w:t xml:space="preserve">[1]</w:t>
      </w:r>
      <w:r>
        <w:t xml:space="preserve"> </w:t>
      </w:r>
      <w:r>
        <w:t xml:space="preserve">sind:</w:t>
      </w:r>
      <w:r>
        <w:t xml:space="preserve"> </w:t>
      </w:r>
      <w:r>
        <w:t xml:space="preserve">personenbezogene Daten, aus denen die rassische und ethnische Herkunft,</w:t>
      </w:r>
      <w:r>
        <w:t xml:space="preserve"> </w:t>
      </w:r>
      <w:r>
        <w:t xml:space="preserve">politische Meinungen, religiöse oder weltanschauliche Überzeugungen oder die</w:t>
      </w:r>
      <w:r>
        <w:t xml:space="preserve"> </w:t>
      </w:r>
      <w:r>
        <w:t xml:space="preserve">Gewerkschaftszugehörigkeit hervorgehen, sowie genetische Daten, biometrische</w:t>
      </w:r>
      <w:r>
        <w:t xml:space="preserve"> </w:t>
      </w:r>
      <w:r>
        <w:t xml:space="preserve">Daten zur eindeutigen Identifizierung einer natürlichen Person,</w:t>
      </w:r>
      <w:r>
        <w:t xml:space="preserve"> </w:t>
      </w:r>
      <w:r>
        <w:t xml:space="preserve">Gesundheitsdaten oder Daten zum Sexualleben oder der sexuellen Orientierung</w:t>
      </w:r>
      <w:r>
        <w:t xml:space="preserve"> </w:t>
      </w:r>
      <w:r>
        <w:t xml:space="preserve">einer natürlichen Person. Weiters sind Daten aus denen auf die soziale oder</w:t>
      </w:r>
      <w:r>
        <w:t xml:space="preserve"> </w:t>
      </w:r>
      <w:r>
        <w:t xml:space="preserve">finanzielle Lage oder Arbeitsverhältnisse schließen lassen im Sinne dieses</w:t>
      </w:r>
      <w:r>
        <w:t xml:space="preserve"> </w:t>
      </w:r>
      <w:r>
        <w:t xml:space="preserve">Handbuchs besonders schützenswert.</w:t>
      </w:r>
    </w:p>
    <w:p>
      <w:pPr>
        <w:pStyle w:val="Heading2"/>
      </w:pPr>
      <w:bookmarkStart w:id="24" w:name="grundsätze"/>
      <w:r>
        <w:t xml:space="preserve">Grundsätze</w:t>
      </w:r>
      <w:bookmarkEnd w:id="24"/>
    </w:p>
    <w:p>
      <w:pPr>
        <w:pStyle w:val="Heading3"/>
      </w:pPr>
      <w:bookmarkStart w:id="25" w:name="X31c7562ab240ed69ae3b17cb6c031338962085e"/>
      <w:r>
        <w:t xml:space="preserve">Unter welchen Vorraussetzungen dürfen Daten verarbeitet werden?</w:t>
      </w:r>
      <w:bookmarkEnd w:id="25"/>
    </w:p>
    <w:p>
      <w:pPr>
        <w:pStyle w:val="FirstParagraph"/>
      </w:pPr>
      <w:r>
        <w:t xml:space="preserve">Daten dürfen unter folgenden Vorraussetzungen verarbeitet werden:</w:t>
      </w:r>
    </w:p>
    <w:p>
      <w:pPr>
        <w:pStyle w:val="Compact"/>
        <w:numPr>
          <w:numId w:val="1002"/>
          <w:ilvl w:val="0"/>
        </w:numPr>
      </w:pPr>
      <w:r>
        <w:t xml:space="preserve">Einwilligung der Betroffenen</w:t>
      </w:r>
    </w:p>
    <w:p>
      <w:pPr>
        <w:pStyle w:val="Compact"/>
        <w:numPr>
          <w:numId w:val="1002"/>
          <w:ilvl w:val="0"/>
        </w:numPr>
      </w:pPr>
      <w:r>
        <w:t xml:space="preserve">Wenn die Verarbeitung zur Erfüllung eines Vertrages notwendig ist</w:t>
      </w:r>
    </w:p>
    <w:p>
      <w:pPr>
        <w:pStyle w:val="Compact"/>
        <w:numPr>
          <w:numId w:val="1002"/>
          <w:ilvl w:val="0"/>
        </w:numPr>
      </w:pPr>
      <w:r>
        <w:t xml:space="preserve">Wenn die Verarbeitung zur Erfüllung einer rechtlichen Pflicht notwendig ist</w:t>
      </w:r>
      <w:r>
        <w:br w:type="textWrapping"/>
      </w:r>
      <w:r>
        <w:t xml:space="preserve">Insbesondere also Plichten die im HSG</w:t>
      </w:r>
      <w:r>
        <w:t xml:space="preserve"> </w:t>
      </w:r>
      <w:r>
        <w:t xml:space="preserve">[3]</w:t>
      </w:r>
      <w:r>
        <w:t xml:space="preserve"> </w:t>
      </w:r>
      <w:r>
        <w:t xml:space="preserve">geregelt sind:</w:t>
      </w:r>
    </w:p>
    <w:p>
      <w:pPr>
        <w:pStyle w:val="Compact"/>
        <w:numPr>
          <w:numId w:val="1003"/>
          <w:ilvl w:val="1"/>
        </w:numPr>
      </w:pPr>
      <w:r>
        <w:t xml:space="preserve">Für Referate der HTU</w:t>
      </w:r>
    </w:p>
    <w:p>
      <w:pPr>
        <w:pStyle w:val="Compact"/>
        <w:numPr>
          <w:numId w:val="1004"/>
          <w:ilvl w:val="2"/>
        </w:numPr>
      </w:pPr>
      <w:r>
        <w:t xml:space="preserve">§ 17 (1) HSG Vertretung der Interessen ihrer Mitglieder für den Bereich der</w:t>
      </w:r>
      <w:r>
        <w:t xml:space="preserve"> </w:t>
      </w:r>
      <w:r>
        <w:t xml:space="preserve">jeweiligen Bildungseinrichtung sowie deren Förderung, soweit sie nicht in</w:t>
      </w:r>
      <w:r>
        <w:t xml:space="preserve"> </w:t>
      </w:r>
      <w:r>
        <w:t xml:space="preserve">den Wirkungsbereich anderer Organe der Hochschülerinnen- und</w:t>
      </w:r>
      <w:r>
        <w:t xml:space="preserve"> </w:t>
      </w:r>
      <w:r>
        <w:t xml:space="preserve">Hochschülerschaft fallen;</w:t>
      </w:r>
    </w:p>
    <w:p>
      <w:pPr>
        <w:pStyle w:val="Compact"/>
        <w:numPr>
          <w:numId w:val="1004"/>
          <w:ilvl w:val="2"/>
        </w:numPr>
      </w:pPr>
      <w:r>
        <w:t xml:space="preserve">§ 17 (10) HSG Beratung der Studienwerberinnen und Studienwerber sowie der</w:t>
      </w:r>
      <w:r>
        <w:t xml:space="preserve"> </w:t>
      </w:r>
      <w:r>
        <w:t xml:space="preserve">Studierenden.</w:t>
      </w:r>
    </w:p>
    <w:p>
      <w:pPr>
        <w:pStyle w:val="Compact"/>
        <w:numPr>
          <w:numId w:val="1003"/>
          <w:ilvl w:val="1"/>
        </w:numPr>
      </w:pPr>
      <w:r>
        <w:t xml:space="preserve">Für Faktultätsvertretungen</w:t>
      </w:r>
    </w:p>
    <w:p>
      <w:pPr>
        <w:pStyle w:val="Compact"/>
        <w:numPr>
          <w:numId w:val="1005"/>
          <w:ilvl w:val="2"/>
        </w:numPr>
      </w:pPr>
      <w:r>
        <w:t xml:space="preserve">§ 18 (1) HSG Vertretung der Interessen der Studierenden sowie deren</w:t>
      </w:r>
      <w:r>
        <w:t xml:space="preserve"> </w:t>
      </w:r>
      <w:r>
        <w:t xml:space="preserve">Förderung in ihrem Wirkungsbereich</w:t>
      </w:r>
    </w:p>
    <w:p>
      <w:pPr>
        <w:pStyle w:val="Compact"/>
        <w:numPr>
          <w:numId w:val="1003"/>
          <w:ilvl w:val="1"/>
        </w:numPr>
      </w:pPr>
      <w:r>
        <w:t xml:space="preserve">Für Studienvertretungen</w:t>
      </w:r>
    </w:p>
    <w:p>
      <w:pPr>
        <w:pStyle w:val="Compact"/>
        <w:numPr>
          <w:numId w:val="1006"/>
          <w:ilvl w:val="2"/>
        </w:numPr>
      </w:pPr>
      <w:r>
        <w:t xml:space="preserve">§ 20 (1) HSG Vertretung der Interessen der Studierenden sowie deren</w:t>
      </w:r>
      <w:r>
        <w:t xml:space="preserve"> </w:t>
      </w:r>
      <w:r>
        <w:t xml:space="preserve">Förderung in ihrem Wirkungsbereich</w:t>
      </w:r>
    </w:p>
    <w:p>
      <w:pPr>
        <w:pStyle w:val="Compact"/>
        <w:numPr>
          <w:numId w:val="1006"/>
          <w:ilvl w:val="2"/>
        </w:numPr>
      </w:pPr>
      <w:r>
        <w:t xml:space="preserve">§ 20 (5) HSG Beratung der Studienwerberinnen und Studienwerber sowie der</w:t>
      </w:r>
      <w:r>
        <w:t xml:space="preserve"> </w:t>
      </w:r>
      <w:r>
        <w:t xml:space="preserve">Studierenden.</w:t>
      </w:r>
    </w:p>
    <w:p>
      <w:pPr>
        <w:pStyle w:val="Compact"/>
        <w:numPr>
          <w:numId w:val="1002"/>
          <w:ilvl w:val="0"/>
        </w:numPr>
      </w:pPr>
      <w:r>
        <w:t xml:space="preserve">Lebenswichtige Interessen Betroffener Personen</w:t>
      </w:r>
    </w:p>
    <w:p>
      <w:pPr>
        <w:pStyle w:val="Compact"/>
        <w:numPr>
          <w:numId w:val="1002"/>
          <w:ilvl w:val="0"/>
        </w:numPr>
      </w:pPr>
      <w:r>
        <w:t xml:space="preserve">Wahrunge berechtigten Interesses (Z.b. offene Forderungen)</w:t>
      </w:r>
    </w:p>
    <w:p>
      <w:pPr>
        <w:pStyle w:val="Heading3"/>
      </w:pPr>
      <w:bookmarkStart w:id="26" w:name="betroffenenrechte"/>
      <w:r>
        <w:t xml:space="preserve">Betroffenenrechte</w:t>
      </w:r>
      <w:bookmarkEnd w:id="26"/>
    </w:p>
    <w:p>
      <w:pPr>
        <w:pStyle w:val="FirstParagraph"/>
      </w:pPr>
      <w:r>
        <w:t xml:space="preserve">Abschnitt 2 der DSGVO</w:t>
      </w:r>
      <w:r>
        <w:t xml:space="preserve"> </w:t>
      </w:r>
      <w:r>
        <w:t xml:space="preserve">[1]</w:t>
      </w:r>
      <w:r>
        <w:t xml:space="preserve"> </w:t>
      </w:r>
      <w:r>
        <w:t xml:space="preserve">garantiert Betroffenen folgende Rechte:</w:t>
      </w:r>
    </w:p>
    <w:p>
      <w:pPr>
        <w:pStyle w:val="Compact"/>
        <w:numPr>
          <w:numId w:val="1007"/>
          <w:ilvl w:val="0"/>
        </w:numPr>
      </w:pPr>
      <w:r>
        <w:t xml:space="preserve">Informationspflicht bei Erhebung von personenbezogenen Daten bei der</w:t>
      </w:r>
      <w:r>
        <w:br w:type="textWrapping"/>
      </w:r>
      <w:r>
        <w:t xml:space="preserve">betroffenen Person</w:t>
      </w:r>
    </w:p>
    <w:p>
      <w:pPr>
        <w:pStyle w:val="Compact"/>
        <w:numPr>
          <w:numId w:val="1007"/>
          <w:ilvl w:val="0"/>
        </w:numPr>
      </w:pPr>
      <w:r>
        <w:t xml:space="preserve">Informationspflicht, wenn die personenbezogenen Daten nicht bei der</w:t>
      </w:r>
      <w:r>
        <w:br w:type="textWrapping"/>
      </w:r>
      <w:r>
        <w:t xml:space="preserve">betroffenen Person erhoben wurden</w:t>
      </w:r>
    </w:p>
    <w:p>
      <w:pPr>
        <w:pStyle w:val="Compact"/>
        <w:numPr>
          <w:numId w:val="1007"/>
          <w:ilvl w:val="0"/>
        </w:numPr>
      </w:pPr>
      <w:r>
        <w:t xml:space="preserve">Auskunftsrecht</w:t>
      </w:r>
    </w:p>
    <w:p>
      <w:pPr>
        <w:pStyle w:val="Compact"/>
        <w:numPr>
          <w:numId w:val="1007"/>
          <w:ilvl w:val="0"/>
        </w:numPr>
      </w:pPr>
      <w:r>
        <w:t xml:space="preserve">Recht auf Berichtigung</w:t>
      </w:r>
    </w:p>
    <w:p>
      <w:pPr>
        <w:pStyle w:val="Compact"/>
        <w:numPr>
          <w:numId w:val="1007"/>
          <w:ilvl w:val="0"/>
        </w:numPr>
      </w:pPr>
      <w:r>
        <w:t xml:space="preserve">Recht auf Löschung (</w:t>
      </w:r>
      <w:r>
        <w:t xml:space="preserve">“</w:t>
      </w:r>
      <w:r>
        <w:t xml:space="preserve">Recht auf Vergessenwerden</w:t>
      </w:r>
      <w:r>
        <w:t xml:space="preserve">”</w:t>
      </w:r>
      <w:r>
        <w:t xml:space="preserve">)</w:t>
      </w:r>
    </w:p>
    <w:p>
      <w:pPr>
        <w:pStyle w:val="Compact"/>
        <w:numPr>
          <w:numId w:val="1007"/>
          <w:ilvl w:val="0"/>
        </w:numPr>
      </w:pPr>
      <w:r>
        <w:t xml:space="preserve">Recht auf Einschränkung der Verarbeitung</w:t>
      </w:r>
    </w:p>
    <w:p>
      <w:pPr>
        <w:pStyle w:val="Compact"/>
        <w:numPr>
          <w:numId w:val="1007"/>
          <w:ilvl w:val="0"/>
        </w:numPr>
      </w:pPr>
      <w:r>
        <w:t xml:space="preserve">Recht auf Datenübertragbarkeit</w:t>
      </w:r>
    </w:p>
    <w:p>
      <w:pPr>
        <w:pStyle w:val="Compact"/>
        <w:numPr>
          <w:numId w:val="1007"/>
          <w:ilvl w:val="0"/>
        </w:numPr>
      </w:pPr>
      <w:r>
        <w:t xml:space="preserve">Widerspruchsrecht</w:t>
      </w:r>
    </w:p>
    <w:p>
      <w:pPr>
        <w:pStyle w:val="Compact"/>
        <w:numPr>
          <w:numId w:val="1007"/>
          <w:ilvl w:val="0"/>
        </w:numPr>
      </w:pPr>
      <w:r>
        <w:t xml:space="preserve">Recht keiner automatisierten Entscheidung unterworfen zu werden</w:t>
      </w:r>
    </w:p>
    <w:p>
      <w:pPr>
        <w:pStyle w:val="Heading3"/>
      </w:pPr>
      <w:bookmarkStart w:id="27" w:name="X1188416d844a58c0bdb3575bf5ec24b32dcf9af"/>
      <w:r>
        <w:t xml:space="preserve">Welche Grundsätze sind bei der Verarbeitung Personenbezogener Daten anzuwenden?</w:t>
      </w:r>
      <w:bookmarkEnd w:id="27"/>
    </w:p>
    <w:p>
      <w:pPr>
        <w:pStyle w:val="Compact"/>
        <w:numPr>
          <w:numId w:val="1008"/>
          <w:ilvl w:val="0"/>
        </w:numPr>
      </w:pPr>
      <w:r>
        <w:t xml:space="preserve">Rechtmäßigkeit, Transparenz</w:t>
      </w:r>
      <w:r>
        <w:br w:type="textWrapping"/>
      </w:r>
      <w:r>
        <w:t xml:space="preserve">Personenbezogene Daten dürfen nur auf rechtmäßige, in für die Betroffenen</w:t>
      </w:r>
      <w:r>
        <w:t xml:space="preserve"> </w:t>
      </w:r>
      <w:r>
        <w:t xml:space="preserve">nachvollziehbarer Weise verarbeitet werden. Für die Betroffenen müssen</w:t>
      </w:r>
      <w:r>
        <w:t xml:space="preserve"> </w:t>
      </w:r>
      <w:r>
        <w:t xml:space="preserve">insbesondere folgende Informationen leicht zugänglich sein:</w:t>
      </w:r>
    </w:p>
    <w:p>
      <w:pPr>
        <w:pStyle w:val="Compact"/>
        <w:numPr>
          <w:numId w:val="1009"/>
          <w:ilvl w:val="1"/>
        </w:numPr>
      </w:pPr>
      <w:r>
        <w:t xml:space="preserve">Identität des Verantwortlichen</w:t>
      </w:r>
    </w:p>
    <w:p>
      <w:pPr>
        <w:pStyle w:val="Compact"/>
        <w:numPr>
          <w:numId w:val="1009"/>
          <w:ilvl w:val="1"/>
        </w:numPr>
      </w:pPr>
      <w:r>
        <w:t xml:space="preserve">Zweck der Verarbeitung</w:t>
      </w:r>
    </w:p>
    <w:p>
      <w:pPr>
        <w:pStyle w:val="Compact"/>
        <w:numPr>
          <w:numId w:val="1009"/>
          <w:ilvl w:val="1"/>
        </w:numPr>
      </w:pPr>
      <w:r>
        <w:t xml:space="preserve">Information darüber welche Daten verarbeitet werden</w:t>
      </w:r>
    </w:p>
    <w:p>
      <w:pPr>
        <w:pStyle w:val="Compact"/>
        <w:numPr>
          <w:numId w:val="1008"/>
          <w:ilvl w:val="0"/>
        </w:numPr>
      </w:pPr>
      <w:r>
        <w:t xml:space="preserve">Zweckbindung</w:t>
      </w:r>
      <w:r>
        <w:br w:type="textWrapping"/>
      </w:r>
      <w:r>
        <w:t xml:space="preserve">Daten dürfen nur für den Zweck für den sie erhoben wurden verwendet werden.</w:t>
      </w:r>
    </w:p>
    <w:p>
      <w:pPr>
        <w:pStyle w:val="Compact"/>
        <w:numPr>
          <w:numId w:val="1008"/>
          <w:ilvl w:val="0"/>
        </w:numPr>
      </w:pPr>
      <w:r>
        <w:t xml:space="preserve">Datenminimierung / Datensparsamkeit</w:t>
      </w:r>
      <w:r>
        <w:br w:type="textWrapping"/>
      </w:r>
      <w:r>
        <w:t xml:space="preserve">Es sind prinzipiell nur Daten zu erheben und zu verarbeiten die für den Zweck</w:t>
      </w:r>
      <w:r>
        <w:t xml:space="preserve"> </w:t>
      </w:r>
      <w:r>
        <w:t xml:space="preserve">notwendig sind.</w:t>
      </w:r>
    </w:p>
    <w:p>
      <w:pPr>
        <w:pStyle w:val="Compact"/>
        <w:numPr>
          <w:numId w:val="1008"/>
          <w:ilvl w:val="0"/>
        </w:numPr>
      </w:pPr>
      <w:r>
        <w:t xml:space="preserve">Richtigkeit</w:t>
      </w:r>
      <w:r>
        <w:br w:type="textWrapping"/>
      </w:r>
      <w:r>
        <w:t xml:space="preserve">Die Richtigkeit der Daten hat sichergestellt zu sein.</w:t>
      </w:r>
    </w:p>
    <w:p>
      <w:pPr>
        <w:pStyle w:val="Compact"/>
        <w:numPr>
          <w:numId w:val="1008"/>
          <w:ilvl w:val="0"/>
        </w:numPr>
      </w:pPr>
      <w:r>
        <w:t xml:space="preserve">Speicherbegrenzung</w:t>
      </w:r>
      <w:r>
        <w:br w:type="textWrapping"/>
      </w:r>
      <w:r>
        <w:t xml:space="preserve">Speicherung der Daten sollte Zeitlich begrenzt sein.</w:t>
      </w:r>
    </w:p>
    <w:p>
      <w:pPr>
        <w:pStyle w:val="Compact"/>
        <w:numPr>
          <w:numId w:val="1008"/>
          <w:ilvl w:val="0"/>
        </w:numPr>
      </w:pPr>
      <w:r>
        <w:t xml:space="preserve">Vertraulichkeit</w:t>
      </w:r>
      <w:r>
        <w:br w:type="textWrapping"/>
      </w:r>
      <w:r>
        <w:t xml:space="preserve">Durch technische und organisatorische Maßnahmen muss sicher gestellt werden,</w:t>
      </w:r>
      <w:r>
        <w:t xml:space="preserve"> </w:t>
      </w:r>
      <w:r>
        <w:t xml:space="preserve">dass nur befugte Personen Zugriff auf die Daten haben</w:t>
      </w:r>
    </w:p>
    <w:p>
      <w:pPr>
        <w:pStyle w:val="Heading2"/>
      </w:pPr>
      <w:bookmarkStart w:id="28" w:name="Xd7499172c006725b76ec4f24a97b6d8e38db3b2"/>
      <w:r>
        <w:t xml:space="preserve">Technische und organisatorische Maßnahmen zum Datenschutz</w:t>
      </w:r>
      <w:bookmarkEnd w:id="28"/>
    </w:p>
    <w:p>
      <w:pPr>
        <w:pStyle w:val="Heading3"/>
      </w:pPr>
      <w:bookmarkStart w:id="29" w:name="organisatorische-maßnahmen"/>
      <w:r>
        <w:t xml:space="preserve">Organisatorische Maßnahmen</w:t>
      </w:r>
      <w:bookmarkEnd w:id="29"/>
    </w:p>
    <w:p>
      <w:pPr>
        <w:pStyle w:val="Heading4"/>
      </w:pPr>
      <w:bookmarkStart w:id="30" w:name="klassifikation-von-datenarten"/>
      <w:r>
        <w:t xml:space="preserve">Klassifikation von Datenarten</w:t>
      </w:r>
      <w:bookmarkEnd w:id="30"/>
    </w:p>
    <w:p>
      <w:pPr>
        <w:pStyle w:val="FirstParagraph"/>
      </w:pPr>
      <w:r>
        <w:t xml:space="preserve">Zur geneueren beschreibung von Organisatorischen Maßnahmen sowie zur Beurteilung</w:t>
      </w:r>
      <w:r>
        <w:t xml:space="preserve"> </w:t>
      </w:r>
      <w:r>
        <w:t xml:space="preserve">notwendiger Schutzmaßnahmen ist die klassifikation von Daten in bestimmet</w:t>
      </w:r>
      <w:r>
        <w:t xml:space="preserve"> </w:t>
      </w:r>
      <w:r>
        <w:t xml:space="preserve">Datenarten nützlich, wir nehmen hier folgende Klassifikationen vor:</w:t>
      </w:r>
    </w:p>
    <w:p>
      <w:pPr>
        <w:pStyle w:val="Heading5"/>
      </w:pPr>
      <w:bookmarkStart w:id="31" w:name="strukturiert-unstrukturiert"/>
      <w:r>
        <w:t xml:space="preserve">Strukturiert / Unstrukturiert</w:t>
      </w:r>
      <w:bookmarkEnd w:id="31"/>
    </w:p>
    <w:p>
      <w:pPr>
        <w:pStyle w:val="FirstParagraph"/>
      </w:pPr>
      <w:r>
        <w:t xml:space="preserve">Strukturierte Daten sind Daten die in einer definierten Struktur gespeichert</w:t>
      </w:r>
      <w:r>
        <w:t xml:space="preserve"> </w:t>
      </w:r>
      <w:r>
        <w:t xml:space="preserve">sind, insbesondere in Form von Tabellen oder standardisierten Formularen.</w:t>
      </w:r>
      <w:r>
        <w:t xml:space="preserve"> </w:t>
      </w:r>
      <w:r>
        <w:t xml:space="preserve">Unstrukturierte Daten sind zum Beispiel Korrespondenz oder Notizen.</w:t>
      </w:r>
    </w:p>
    <w:p>
      <w:pPr>
        <w:pStyle w:val="Heading5"/>
      </w:pPr>
      <w:bookmarkStart w:id="32" w:name="digital-analog-gespeichert"/>
      <w:r>
        <w:t xml:space="preserve">Digital / Analog gespeichert</w:t>
      </w:r>
      <w:bookmarkEnd w:id="32"/>
    </w:p>
    <w:p>
      <w:pPr>
        <w:pStyle w:val="FirstParagraph"/>
      </w:pPr>
      <w:r>
        <w:t xml:space="preserve">Sind die Daten digtial (z.B. Excel, Word, .pdf, etc. - Files) oder analog (z.B.</w:t>
      </w:r>
      <w:r>
        <w:t xml:space="preserve"> </w:t>
      </w:r>
      <w:r>
        <w:t xml:space="preserve">ausgedruckte Formulare, handgeschriebene Listen, usw.) gespeichert.</w:t>
      </w:r>
    </w:p>
    <w:p>
      <w:pPr>
        <w:pStyle w:val="Heading4"/>
      </w:pPr>
      <w:bookmarkStart w:id="33" w:name="wer-hat-zugriff-auf-welche-daten"/>
      <w:r>
        <w:t xml:space="preserve">Wer hat Zugriff auf welche Daten?</w:t>
      </w:r>
      <w:bookmarkEnd w:id="33"/>
    </w:p>
    <w:p>
      <w:pPr>
        <w:pStyle w:val="FirstParagraph"/>
      </w:pPr>
      <w:r>
        <w:t xml:space="preserve">Eine wichtige organisatorische Maßnahme zur Datensicherheit ist den Kreis der</w:t>
      </w:r>
      <w:r>
        <w:t xml:space="preserve"> </w:t>
      </w:r>
      <w:r>
        <w:t xml:space="preserve">Personen die Zugriff auf Persönliche Daten haben auf die Personen einzuschränken</w:t>
      </w:r>
      <w:r>
        <w:t xml:space="preserve"> </w:t>
      </w:r>
      <w:r>
        <w:t xml:space="preserve">die tatsächlich Zugriff brauchen um die Aufgaben zu erfüllen und zu erheben wer</w:t>
      </w:r>
      <w:r>
        <w:t xml:space="preserve"> </w:t>
      </w:r>
      <w:r>
        <w:t xml:space="preserve">auf welche Daten Zugriff hat.</w:t>
      </w:r>
    </w:p>
    <w:p>
      <w:pPr>
        <w:pStyle w:val="Heading4"/>
      </w:pPr>
      <w:bookmarkStart w:id="34" w:name="data-breach-notification"/>
      <w:r>
        <w:t xml:space="preserve">Data Breach Notification</w:t>
      </w:r>
      <w:bookmarkEnd w:id="34"/>
    </w:p>
    <w:p>
      <w:pPr>
        <w:pStyle w:val="FirstParagraph"/>
      </w:pPr>
      <w:r>
        <w:t xml:space="preserve">Sollte die Möglichkeit bestehen, dass persönliche Daten für nicht befugte</w:t>
      </w:r>
      <w:r>
        <w:t xml:space="preserve"> </w:t>
      </w:r>
      <w:r>
        <w:t xml:space="preserve">Personen zugänglich geworden sind (Verlust eines Datenträgers oder Mobilgerätes,</w:t>
      </w:r>
      <w:r>
        <w:t xml:space="preserve"> </w:t>
      </w:r>
      <w:r>
        <w:t xml:space="preserve">technischer Defekt, …) so sind unverzüglich der/die Datenschutzbeauftragte und</w:t>
      </w:r>
      <w:r>
        <w:t xml:space="preserve"> </w:t>
      </w:r>
      <w:r>
        <w:t xml:space="preserve">der Vorsitz zu verständigen.</w:t>
      </w:r>
    </w:p>
    <w:p>
      <w:pPr>
        <w:pStyle w:val="Heading3"/>
      </w:pPr>
      <w:bookmarkStart w:id="35" w:name="technische-maßnahmen"/>
      <w:r>
        <w:t xml:space="preserve">Technische Maßnahmen</w:t>
      </w:r>
      <w:bookmarkEnd w:id="35"/>
    </w:p>
    <w:p>
      <w:pPr>
        <w:pStyle w:val="Heading4"/>
      </w:pPr>
      <w:bookmarkStart w:id="36" w:name="X432d4d13cf3d5658227364965e8471ec545b30b"/>
      <w:r>
        <w:t xml:space="preserve">Kein versenden Personenbezogener Daten per Mail</w:t>
      </w:r>
      <w:bookmarkEnd w:id="36"/>
    </w:p>
    <w:p>
      <w:pPr>
        <w:pStyle w:val="FirstParagraph"/>
      </w:pPr>
      <w:r>
        <w:t xml:space="preserve">Personenbezogene Daten sind prinzipiell nich per Mail zu versenden. Die</w:t>
      </w:r>
      <w:r>
        <w:t xml:space="preserve"> </w:t>
      </w:r>
      <w:r>
        <w:t xml:space="preserve">Übertragung der Daten per Mail erfolgt unverschlüsselt, außerdem besteht die</w:t>
      </w:r>
      <w:r>
        <w:t xml:space="preserve"> </w:t>
      </w:r>
      <w:r>
        <w:t xml:space="preserve">Gefahr, dass durch falsch adressierte Mails Daten für nicht autorisierte</w:t>
      </w:r>
      <w:r>
        <w:t xml:space="preserve"> </w:t>
      </w:r>
      <w:r>
        <w:t xml:space="preserve">Personen zugänglich werden.</w:t>
      </w:r>
    </w:p>
    <w:p>
      <w:pPr>
        <w:pStyle w:val="BodyText"/>
      </w:pPr>
      <w:r>
        <w:t xml:space="preserve">In folgenden Fällen ist ein Versandt per Mail zulässig:</w:t>
      </w:r>
    </w:p>
    <w:p>
      <w:pPr>
        <w:pStyle w:val="Compact"/>
        <w:numPr>
          <w:numId w:val="1010"/>
          <w:ilvl w:val="0"/>
        </w:numPr>
      </w:pPr>
      <w:r>
        <w:t xml:space="preserve">Interne Weiterleitung von Daten die von den Betroffenen selbst per Mail</w:t>
      </w:r>
      <w:r>
        <w:t xml:space="preserve"> </w:t>
      </w:r>
      <w:r>
        <w:t xml:space="preserve">geschickt wurden.</w:t>
      </w:r>
    </w:p>
    <w:p>
      <w:pPr>
        <w:pStyle w:val="Compact"/>
        <w:numPr>
          <w:numId w:val="1010"/>
          <w:ilvl w:val="0"/>
        </w:numPr>
      </w:pPr>
      <w:r>
        <w:t xml:space="preserve">Benützung starker Verschlüsselung und versandt des Schlüssels auf anderem Weg.</w:t>
      </w:r>
      <w:r>
        <w:t xml:space="preserve"> </w:t>
      </w:r>
      <w:r>
        <w:t xml:space="preserve">(Zum Beispiel gnupg mit vorher ausgetauschtem public key, oder 7zip</w:t>
      </w:r>
      <w:r>
        <w:t xml:space="preserve"> </w:t>
      </w:r>
      <w:r>
        <w:t xml:space="preserve">[4]</w:t>
      </w:r>
      <w:r>
        <w:t xml:space="preserve"> </w:t>
      </w:r>
      <w:r>
        <w:t xml:space="preserve">Verschlüsseltes Archiv und weitergabe des Passwortes telephonisch.)</w:t>
      </w:r>
    </w:p>
    <w:p>
      <w:pPr>
        <w:pStyle w:val="FirstParagraph"/>
      </w:pPr>
      <w:r>
        <w:t xml:space="preserve">Mitarbeiter_innen der Referate haben Zugriff auf die HTU-Nextcloud, diese ist</w:t>
      </w:r>
      <w:r>
        <w:t xml:space="preserve"> </w:t>
      </w:r>
      <w:r>
        <w:t xml:space="preserve">für den Austausch personenbezogener Daten zu verwenden. Für internen Austausch</w:t>
      </w:r>
      <w:r>
        <w:t xml:space="preserve"> </w:t>
      </w:r>
      <w:r>
        <w:t xml:space="preserve">kann eine Datei oder ein Ordner direkt mit einem anderen HTU-Account geteilt</w:t>
      </w:r>
      <w:r>
        <w:t xml:space="preserve"> </w:t>
      </w:r>
      <w:r>
        <w:t xml:space="preserve">werden, beim Teilen mittels Links sind Passwort und Ablaufdatum zu setzen.</w:t>
      </w:r>
    </w:p>
    <w:p>
      <w:pPr>
        <w:pStyle w:val="Heading4"/>
      </w:pPr>
      <w:bookmarkStart w:id="37" w:name="Xcf1bc4242aefd26914e456be53e7f83053474db"/>
      <w:r>
        <w:t xml:space="preserve">Keine Weiterleitung an andere Mail Anbieter</w:t>
      </w:r>
      <w:bookmarkEnd w:id="37"/>
    </w:p>
    <w:p>
      <w:pPr>
        <w:pStyle w:val="FirstParagraph"/>
      </w:pPr>
      <w:r>
        <w:t xml:space="preserve">Prinzipiell ist eine Weiterleitung aller eingehenden Mails an andere</w:t>
      </w:r>
      <w:r>
        <w:t xml:space="preserve"> </w:t>
      </w:r>
      <w:r>
        <w:t xml:space="preserve">Mail-Anbieter nicht zulässig. Mail sollten über Fachschafts oder HTU Server</w:t>
      </w:r>
      <w:r>
        <w:t xml:space="preserve"> </w:t>
      </w:r>
      <w:r>
        <w:t xml:space="preserve">abgerufen oder über die Webmail-Systeme gelesen und bearbeitet werden.</w:t>
      </w:r>
    </w:p>
    <w:p>
      <w:pPr>
        <w:pStyle w:val="Heading4"/>
      </w:pPr>
      <w:bookmarkStart w:id="38" w:name="sicherung-von-geräten"/>
      <w:r>
        <w:t xml:space="preserve">Sicherung von Geräten</w:t>
      </w:r>
      <w:bookmarkEnd w:id="38"/>
    </w:p>
    <w:p>
      <w:pPr>
        <w:pStyle w:val="FirstParagraph"/>
      </w:pPr>
      <w:r>
        <w:t xml:space="preserve">Geräte der HTU sowie Privatgeräte die zur Verarbeitung von personenbezogenen</w:t>
      </w:r>
      <w:r>
        <w:t xml:space="preserve"> </w:t>
      </w:r>
      <w:r>
        <w:t xml:space="preserve">Daten benützt werden müssen ausreichend geschützt sein. Zumindest muss der</w:t>
      </w:r>
      <w:r>
        <w:t xml:space="preserve"> </w:t>
      </w:r>
      <w:r>
        <w:t xml:space="preserve">Zugriff durch ein starkes Passwort geschützt sein und die Daten müssen</w:t>
      </w:r>
      <w:r>
        <w:t xml:space="preserve"> </w:t>
      </w:r>
      <w:r>
        <w:t xml:space="preserve">verschlüsselt gespeichert sein. Siehe dazu folgende Anleitung [4].</w:t>
      </w:r>
    </w:p>
    <w:p>
      <w:pPr>
        <w:pStyle w:val="Heading4"/>
      </w:pPr>
      <w:bookmarkStart w:id="39" w:name="sichere-entsorgung"/>
      <w:r>
        <w:t xml:space="preserve">Sichere Entsorgung</w:t>
      </w:r>
      <w:bookmarkEnd w:id="39"/>
    </w:p>
    <w:p>
      <w:pPr>
        <w:pStyle w:val="FirstParagraph"/>
      </w:pPr>
      <w:r>
        <w:t xml:space="preserve">Datenträger, ob analog oder digital die zur Speicherung personenbezogener Daten</w:t>
      </w:r>
      <w:r>
        <w:t xml:space="preserve"> </w:t>
      </w:r>
      <w:r>
        <w:t xml:space="preserve">verwendet wurden müssen sicher entsorgt werden. Es gibt dafür ein Service der TU</w:t>
      </w:r>
      <w:r>
        <w:t xml:space="preserve"> </w:t>
      </w:r>
      <w:r>
        <w:t xml:space="preserve">das auch die HTU nützen kann.</w:t>
      </w:r>
    </w:p>
    <w:p>
      <w:pPr>
        <w:pStyle w:val="Heading4"/>
      </w:pPr>
      <w:bookmarkStart w:id="40" w:name="passwörter"/>
      <w:r>
        <w:t xml:space="preserve">Passwörter</w:t>
      </w:r>
      <w:bookmarkEnd w:id="40"/>
    </w:p>
    <w:p>
      <w:pPr>
        <w:pStyle w:val="FirstParagraph"/>
      </w:pPr>
      <w:r>
        <w:t xml:space="preserve">Passwörter sind ausreichend lange und komplex zu wählen, es empfiehlt sich die</w:t>
      </w:r>
      <w:r>
        <w:t xml:space="preserve"> </w:t>
      </w:r>
      <w:r>
        <w:t xml:space="preserve">Anwendung eines Passwort Managers, siehe dazu folgende Anleitung [5].</w:t>
      </w:r>
    </w:p>
    <w:p>
      <w:pPr>
        <w:pStyle w:val="Heading2"/>
      </w:pPr>
      <w:bookmarkStart w:id="41" w:name="beipsiele"/>
      <w:r>
        <w:t xml:space="preserve">Beipsiele</w:t>
      </w:r>
      <w:bookmarkEnd w:id="41"/>
    </w:p>
    <w:p>
      <w:pPr>
        <w:pStyle w:val="Heading3"/>
      </w:pPr>
      <w:bookmarkStart w:id="42" w:name="beratung-von-studierenden"/>
      <w:r>
        <w:t xml:space="preserve">Beratung von Studierenden</w:t>
      </w:r>
      <w:bookmarkEnd w:id="42"/>
    </w:p>
    <w:p>
      <w:pPr>
        <w:pStyle w:val="FirstParagraph"/>
      </w:pPr>
      <w:r>
        <w:t xml:space="preserve">Bei Organisations-Mail-Adressen die von mehreren Mitarbeiter_innen empfangen</w:t>
      </w:r>
      <w:r>
        <w:t xml:space="preserve"> </w:t>
      </w:r>
      <w:r>
        <w:t xml:space="preserve">werden, sollten die Sender_innen darüber aufgeklärt werden, an welchen</w:t>
      </w:r>
      <w:r>
        <w:t xml:space="preserve"> </w:t>
      </w:r>
      <w:r>
        <w:t xml:space="preserve">Personenkreis sie schreiben. Ein Einfacher Satz an Stellen an denen ihr die</w:t>
      </w:r>
      <w:r>
        <w:t xml:space="preserve"> </w:t>
      </w:r>
      <w:r>
        <w:t xml:space="preserve">Mail-Adresse bekannt gebt reicht dazu aus. Einen entsprechenden Textbaustein</w:t>
      </w:r>
      <w:r>
        <w:t xml:space="preserve"> </w:t>
      </w:r>
      <w:r>
        <w:t xml:space="preserve">findet ihr im Abschnitt Textbausteine.</w:t>
      </w:r>
    </w:p>
    <w:p>
      <w:pPr>
        <w:pStyle w:val="BodyText"/>
      </w:pPr>
      <w:r>
        <w:t xml:space="preserve">Empfänger_innen der Mails müssen darüber aufgeklärt werden, dass sie</w:t>
      </w:r>
      <w:r>
        <w:t xml:space="preserve"> </w:t>
      </w:r>
      <w:r>
        <w:t xml:space="preserve">persönliche Daten die über die Adresse empfangen werden persönlich zu behandeln</w:t>
      </w:r>
      <w:r>
        <w:t xml:space="preserve"> </w:t>
      </w:r>
      <w:r>
        <w:t xml:space="preserve">sind und welche technischen und organisatorischen Maßnahmen zum Schutz der Daten</w:t>
      </w:r>
      <w:r>
        <w:t xml:space="preserve"> </w:t>
      </w:r>
      <w:r>
        <w:t xml:space="preserve">anzuwenden sind.</w:t>
      </w:r>
    </w:p>
    <w:p>
      <w:pPr>
        <w:pStyle w:val="Heading3"/>
      </w:pPr>
      <w:bookmarkStart w:id="43" w:name="teilnehmer_innen-listen"/>
      <w:r>
        <w:t xml:space="preserve">Teilnehmer_innen-Listen</w:t>
      </w:r>
      <w:bookmarkEnd w:id="43"/>
    </w:p>
    <w:p>
      <w:pPr>
        <w:pStyle w:val="FirstParagraph"/>
      </w:pPr>
      <w:r>
        <w:t xml:space="preserve">Solltet ihr Teilnehmer_innen-Listen für Veranstaltungen, Seminare, etc. oder</w:t>
      </w:r>
      <w:r>
        <w:t xml:space="preserve"> </w:t>
      </w:r>
      <w:r>
        <w:t xml:space="preserve">ähnliches führen muss es eine Einwilligung geben, da die Verarbeitung dieser</w:t>
      </w:r>
      <w:r>
        <w:t xml:space="preserve"> </w:t>
      </w:r>
      <w:r>
        <w:t xml:space="preserve">Daten (meistens) nicht auf einer gesetzlichen Grundlage basiert. Einen</w:t>
      </w:r>
      <w:r>
        <w:t xml:space="preserve"> </w:t>
      </w:r>
      <w:r>
        <w:t xml:space="preserve">entsprechenden Textbaustein findet ihr im Abschnitt Textbausteine. Bitte</w:t>
      </w:r>
      <w:r>
        <w:t xml:space="preserve"> </w:t>
      </w:r>
      <w:r>
        <w:t xml:space="preserve">beachtet dabei, dass dieses Muster nicht irgendwo versteckt aufliegen kann,</w:t>
      </w:r>
      <w:r>
        <w:t xml:space="preserve"> </w:t>
      </w:r>
      <w:r>
        <w:t xml:space="preserve">sondern im selben Medium präsentiert werden muss.</w:t>
      </w:r>
    </w:p>
    <w:p>
      <w:pPr>
        <w:pStyle w:val="BodyText"/>
      </w:pPr>
      <w:r>
        <w:t xml:space="preserve">Wenn die Daten zum Beispiel auf einer Papier-Liste erhoben werden, reicht es</w:t>
      </w:r>
      <w:r>
        <w:t xml:space="preserve"> </w:t>
      </w:r>
      <w:r>
        <w:rPr>
          <w:i/>
        </w:rPr>
        <w:t xml:space="preserve">nicht</w:t>
      </w:r>
      <w:r>
        <w:t xml:space="preserve"> </w:t>
      </w:r>
      <w:r>
        <w:t xml:space="preserve">aus die Einverständniserklärung auf der Website zu veröffentlichen.</w:t>
      </w:r>
      <w:r>
        <w:t xml:space="preserve"> </w:t>
      </w:r>
      <w:r>
        <w:t xml:space="preserve">Druckt die Einverständniserklärung auf die Rückseite oder legt sie bei und weist</w:t>
      </w:r>
      <w:r>
        <w:t xml:space="preserve"> </w:t>
      </w:r>
      <w:r>
        <w:t xml:space="preserve">auf der Vorderseite des Formulars in einer Fußnote darauf hin.</w:t>
      </w:r>
    </w:p>
    <w:p>
      <w:pPr>
        <w:pStyle w:val="Heading3"/>
      </w:pPr>
      <w:bookmarkStart w:id="44" w:name="socialmedia"/>
      <w:r>
        <w:t xml:space="preserve">Socialmedia</w:t>
      </w:r>
      <w:bookmarkEnd w:id="44"/>
    </w:p>
    <w:p>
      <w:pPr>
        <w:pStyle w:val="FirstParagraph"/>
      </w:pPr>
      <w:r>
        <w:t xml:space="preserve">Bei Socialmedia Auftritten speichern die Plattformen Daten über die</w:t>
      </w:r>
      <w:r>
        <w:t xml:space="preserve"> </w:t>
      </w:r>
      <w:r>
        <w:t xml:space="preserve">Besucher_innen eures Auftrittes. Die Besucher_innen eures</w:t>
      </w:r>
      <w:r>
        <w:t xml:space="preserve"> </w:t>
      </w:r>
      <w:r>
        <w:t xml:space="preserve">Socialmediaauftrittes sind darüber zu informieren, am besten mittels Link auf</w:t>
      </w:r>
      <w:r>
        <w:t xml:space="preserve"> </w:t>
      </w:r>
      <w:r>
        <w:t xml:space="preserve">eine entsprechende Datenschutzerklärung in der Seiten Beschreibung oder</w:t>
      </w:r>
      <w:r>
        <w:t xml:space="preserve"> </w:t>
      </w:r>
      <w:r>
        <w:t xml:space="preserve">ähnlichem. (Facebook Seiten Beschreibung, twitter-bio, …) Einen Textbaustein</w:t>
      </w:r>
      <w:r>
        <w:t xml:space="preserve"> </w:t>
      </w:r>
      <w:r>
        <w:t xml:space="preserve">dafür findet ihr ebenfalls im Abschnitt Textbausteine.</w:t>
      </w:r>
    </w:p>
    <w:p>
      <w:pPr>
        <w:pStyle w:val="Heading3"/>
      </w:pPr>
      <w:bookmarkStart w:id="45" w:name="newsletter"/>
      <w:r>
        <w:t xml:space="preserve">Newsletter</w:t>
      </w:r>
      <w:bookmarkEnd w:id="45"/>
    </w:p>
    <w:p>
      <w:pPr>
        <w:pStyle w:val="FirstParagraph"/>
      </w:pPr>
      <w:r>
        <w:t xml:space="preserve">Bei Newslettern in die sich Abonnent_innen selbstständig eintragen müssen diese</w:t>
      </w:r>
      <w:r>
        <w:t xml:space="preserve"> </w:t>
      </w:r>
      <w:r>
        <w:t xml:space="preserve">auch der dazu notwendigen Datenverarbeitung zustimmen. Bei Papier-Listen druckt</w:t>
      </w:r>
      <w:r>
        <w:t xml:space="preserve"> </w:t>
      </w:r>
      <w:r>
        <w:t xml:space="preserve">den entpsrechenden Text so wie bei Teilnehmer_innen Listen auf das</w:t>
      </w:r>
      <w:r>
        <w:t xml:space="preserve"> </w:t>
      </w:r>
      <w:r>
        <w:t xml:space="preserve">entsprechende Blatt, bei einer Online Anmeldung verlinkt die Erklärung und holt</w:t>
      </w:r>
      <w:r>
        <w:t xml:space="preserve"> </w:t>
      </w:r>
      <w:r>
        <w:t xml:space="preserve">euch die Zutsimmung über ein entsprechend zu setzendes Häckhen. Auch hierzu gibt</w:t>
      </w:r>
      <w:r>
        <w:t xml:space="preserve"> </w:t>
      </w:r>
      <w:r>
        <w:t xml:space="preserve">es einen Textbaustein.</w:t>
      </w:r>
    </w:p>
    <w:p>
      <w:pPr>
        <w:pStyle w:val="Heading2"/>
      </w:pPr>
      <w:bookmarkStart w:id="46" w:name="updates"/>
      <w:r>
        <w:t xml:space="preserve">Updates</w:t>
      </w:r>
      <w:bookmarkEnd w:id="46"/>
    </w:p>
    <w:p>
      <w:pPr>
        <w:pStyle w:val="FirstParagraph"/>
      </w:pPr>
      <w:r>
        <w:t xml:space="preserve">Alle die im Rahmen ihrer Tätigkeit an der HTU persönliche Daten verarbeiten sind</w:t>
      </w:r>
      <w:r>
        <w:t xml:space="preserve"> </w:t>
      </w:r>
      <w:r>
        <w:t xml:space="preserve">angehalten sich über Änderungen dieses Hanbuches, insbesondere der technischen</w:t>
      </w:r>
      <w:r>
        <w:t xml:space="preserve"> </w:t>
      </w:r>
      <w:r>
        <w:t xml:space="preserve">und organisatorischen Maßnahmen zur Datensicherheit zu informieren. Größere</w:t>
      </w:r>
      <w:r>
        <w:t xml:space="preserve"> </w:t>
      </w:r>
      <w:r>
        <w:t xml:space="preserve">Änderungen werden über die Fachschaften und Referate Mailverteiler ausgeschickt,</w:t>
      </w:r>
      <w:r>
        <w:t xml:space="preserve"> </w:t>
      </w:r>
      <w:r>
        <w:t xml:space="preserve">eine aktuelle Version dieses Dokuments ist auf der HTU-Website zu finden.</w:t>
      </w:r>
    </w:p>
    <w:p>
      <w:pPr>
        <w:pStyle w:val="Heading2"/>
      </w:pPr>
      <w:bookmarkStart w:id="47" w:name="anhänge"/>
      <w:r>
        <w:t xml:space="preserve">Anhänge</w:t>
      </w:r>
      <w:bookmarkEnd w:id="47"/>
    </w:p>
    <w:p>
      <w:pPr>
        <w:pStyle w:val="Heading3"/>
      </w:pPr>
      <w:bookmarkStart w:id="48" w:name="textbausteine"/>
      <w:r>
        <w:t xml:space="preserve">Textbausteine</w:t>
      </w:r>
      <w:bookmarkEnd w:id="48"/>
    </w:p>
    <w:p>
      <w:pPr>
        <w:pStyle w:val="Heading4"/>
      </w:pPr>
      <w:bookmarkStart w:id="49" w:name="mailverteiler-beratung"/>
      <w:r>
        <w:t xml:space="preserve">Mailverteiler Beratung</w:t>
      </w:r>
      <w:bookmarkEnd w:id="49"/>
    </w:p>
    <w:p>
      <w:pPr>
        <w:pStyle w:val="FirstParagraph"/>
      </w:pPr>
      <w:r>
        <w:t xml:space="preserve">Mails an diese Adresse werden von Studierendenvertreter_innen sowie weitere</w:t>
      </w:r>
      <w:r>
        <w:t xml:space="preserve"> </w:t>
      </w:r>
      <w:r>
        <w:t xml:space="preserve">ehrenamtlichen Mitarbeiter_innen der &lt;Fachschaft/…&gt; gelesen und</w:t>
      </w:r>
      <w:r>
        <w:t xml:space="preserve"> </w:t>
      </w:r>
      <w:r>
        <w:t xml:space="preserve">verarbeitet.</w:t>
      </w:r>
    </w:p>
    <w:p>
      <w:pPr>
        <w:pStyle w:val="Heading4"/>
      </w:pPr>
      <w:bookmarkStart w:id="50" w:name="social-media"/>
      <w:r>
        <w:t xml:space="preserve">Social Media</w:t>
      </w:r>
      <w:bookmarkEnd w:id="50"/>
    </w:p>
    <w:p>
      <w:pPr>
        <w:pStyle w:val="FirstParagraph"/>
      </w:pPr>
      <w:r>
        <w:t xml:space="preserve">Beim Besuch unsers &lt;Plattform&gt;-Aufrtittes erhebt</w:t>
      </w:r>
      <w:r>
        <w:t xml:space="preserve"> </w:t>
      </w:r>
      <w:r>
        <w:t xml:space="preserve">&lt;Plattform&gt; persönliche Daten und macht diese der</w:t>
      </w:r>
      <w:r>
        <w:t xml:space="preserve"> </w:t>
      </w:r>
      <w:r>
        <w:t xml:space="preserve">&lt;Fachschaft/…&gt; teilweise zugänglich, zu genaueren Infos welche Daten</w:t>
      </w:r>
      <w:r>
        <w:t xml:space="preserve"> </w:t>
      </w:r>
      <w:r>
        <w:t xml:space="preserve">erhoben werden und entsprechenden Widerspruchsrechten siehe: &lt;Link auf</w:t>
      </w:r>
      <w:r>
        <w:t xml:space="preserve"> </w:t>
      </w:r>
      <w:r>
        <w:t xml:space="preserve">Datenschutzerklärung der Plattform&gt;</w:t>
      </w:r>
    </w:p>
    <w:p>
      <w:pPr>
        <w:pStyle w:val="Heading4"/>
      </w:pPr>
      <w:bookmarkStart w:id="51" w:name="websites"/>
      <w:r>
        <w:t xml:space="preserve">Websites</w:t>
      </w:r>
      <w:bookmarkEnd w:id="51"/>
    </w:p>
    <w:p>
      <w:pPr>
        <w:pStyle w:val="FirstParagraph"/>
      </w:pPr>
      <w:r>
        <w:t xml:space="preserve">Beim Besuch von &lt;website&gt; werden folgende Daten aus technischen Gründen</w:t>
      </w:r>
      <w:r>
        <w:t xml:space="preserve"> </w:t>
      </w:r>
      <w:r>
        <w:t xml:space="preserve">und zu statistischen Zwecken erhoben: &lt;Aufzählung&gt;</w:t>
      </w:r>
    </w:p>
    <w:p>
      <w:pPr>
        <w:pStyle w:val="Heading4"/>
      </w:pPr>
      <w:bookmarkStart w:id="52" w:name="newsletter-1"/>
      <w:r>
        <w:t xml:space="preserve">Newsletter</w:t>
      </w:r>
      <w:bookmarkEnd w:id="52"/>
    </w:p>
    <w:p>
      <w:pPr>
        <w:pStyle w:val="FirstParagraph"/>
      </w:pPr>
      <w:r>
        <w:t xml:space="preserve">Ich stimme der zum Versandt dieses Newsletters notwendigen Verarbeitung meiner</w:t>
      </w:r>
      <w:r>
        <w:t xml:space="preserve"> </w:t>
      </w:r>
      <w:r>
        <w:t xml:space="preserve">personenbezogenen Daten (&lt;e-mail Adresse, ggf. Name&gt;) zu.</w:t>
      </w:r>
    </w:p>
    <w:p>
      <w:pPr>
        <w:pStyle w:val="Heading4"/>
      </w:pPr>
      <w:bookmarkStart w:id="53" w:name="anmeldelisten"/>
      <w:r>
        <w:t xml:space="preserve">Anmeldelisten</w:t>
      </w:r>
      <w:bookmarkEnd w:id="53"/>
    </w:p>
    <w:p>
      <w:pPr>
        <w:pStyle w:val="FirstParagraph"/>
      </w:pPr>
      <w:r>
        <w:t xml:space="preserve">Ich stimme der Verarbeitung der hier angegebenen Daten zum Zwecke der Abhaltung</w:t>
      </w:r>
      <w:r>
        <w:t xml:space="preserve"> </w:t>
      </w:r>
      <w:r>
        <w:t xml:space="preserve">&lt;Veranstaltung&gt; zu.</w:t>
      </w:r>
    </w:p>
    <w:p>
      <w:pPr>
        <w:pStyle w:val="Heading3"/>
      </w:pPr>
      <w:bookmarkStart w:id="54" w:name="anleitungen"/>
      <w:r>
        <w:t xml:space="preserve">Anleitungen</w:t>
      </w:r>
      <w:bookmarkEnd w:id="54"/>
    </w:p>
    <w:p>
      <w:pPr>
        <w:pStyle w:val="Heading4"/>
      </w:pPr>
      <w:bookmarkStart w:id="55" w:name="festplattenverschlüsselung"/>
      <w:r>
        <w:t xml:space="preserve">Festplattenverschlüsselung</w:t>
      </w:r>
      <w:bookmarkEnd w:id="55"/>
    </w:p>
    <w:p>
      <w:pPr>
        <w:pStyle w:val="Heading5"/>
      </w:pPr>
      <w:bookmarkStart w:id="56" w:name="windows"/>
      <w:r>
        <w:t xml:space="preserve">Windows</w:t>
      </w:r>
      <w:bookmarkEnd w:id="56"/>
    </w:p>
    <w:p>
      <w:pPr>
        <w:pStyle w:val="FirstParagraph"/>
      </w:pPr>
      <w:r>
        <w:t xml:space="preserve">In Windows kann Full-Disk Encryption wie folgt aktiviert werden:</w:t>
      </w:r>
    </w:p>
    <w:p>
      <w:pPr>
        <w:pStyle w:val="Compact"/>
        <w:numPr>
          <w:numId w:val="1011"/>
          <w:ilvl w:val="0"/>
        </w:numPr>
      </w:pPr>
      <w:r>
        <w:t xml:space="preserve">Systemeinstellungen öffnen und BitLocker-Laufwerksverschlüsselung auswählen</w:t>
      </w:r>
    </w:p>
    <w:p>
      <w:pPr>
        <w:pStyle w:val="Compact"/>
        <w:numPr>
          <w:numId w:val="1011"/>
          <w:ilvl w:val="0"/>
        </w:numPr>
      </w:pPr>
      <w:r>
        <w:t xml:space="preserve">Das Laufwerk auswählen und BitLocker aktivieren</w:t>
      </w:r>
    </w:p>
    <w:p>
      <w:pPr>
        <w:pStyle w:val="Compact"/>
        <w:numPr>
          <w:numId w:val="1011"/>
          <w:ilvl w:val="0"/>
        </w:numPr>
      </w:pPr>
      <w:r>
        <w:t xml:space="preserve">Den Wiederherstellungsschlüssel drucken und an einem sicheren Ort verwahren</w:t>
      </w:r>
    </w:p>
    <w:p>
      <w:pPr>
        <w:pStyle w:val="Compact"/>
        <w:numPr>
          <w:numId w:val="1011"/>
          <w:ilvl w:val="0"/>
        </w:numPr>
      </w:pPr>
      <w:r>
        <w:t xml:space="preserve">Gesamtes Laufwerk verschlüsseln auswählen</w:t>
      </w:r>
    </w:p>
    <w:p>
      <w:pPr>
        <w:pStyle w:val="Compact"/>
        <w:numPr>
          <w:numId w:val="1011"/>
          <w:ilvl w:val="0"/>
        </w:numPr>
      </w:pPr>
      <w:r>
        <w:t xml:space="preserve">BitLocker-Systemprüfung auswählen, sollte die Überprüfung scheitern einfach</w:t>
      </w:r>
      <w:r>
        <w:t xml:space="preserve"> </w:t>
      </w:r>
      <w:r>
        <w:t xml:space="preserve">noch einmal die obrigen Schitte ohne diese Auswahl wiederholen.</w:t>
      </w:r>
    </w:p>
    <w:p>
      <w:pPr>
        <w:pStyle w:val="FirstParagraph"/>
      </w:pPr>
      <w:r>
        <w:t xml:space="preserve">Achtung die Verschlüsselung läuft zwar im Hintergrund braucht aber Zeit, also</w:t>
      </w:r>
      <w:r>
        <w:t xml:space="preserve"> </w:t>
      </w:r>
      <w:r>
        <w:t xml:space="preserve">nicht ausführen kurz bevor man den Rechner abschlaten muss, insbesondere bei</w:t>
      </w:r>
      <w:r>
        <w:t xml:space="preserve"> </w:t>
      </w:r>
      <w:r>
        <w:t xml:space="preserve">Laptops.</w:t>
      </w:r>
    </w:p>
    <w:p>
      <w:pPr>
        <w:pStyle w:val="Heading5"/>
      </w:pPr>
      <w:bookmarkStart w:id="57" w:name="linux"/>
      <w:r>
        <w:t xml:space="preserve">Linux</w:t>
      </w:r>
      <w:bookmarkEnd w:id="57"/>
    </w:p>
    <w:p>
      <w:pPr>
        <w:pStyle w:val="FirstParagraph"/>
      </w:pPr>
      <w:r>
        <w:t xml:space="preserve">Festplatten-Verschlüsselung ist in den Meisten Linux Distributionen mit</w:t>
      </w:r>
      <w:r>
        <w:t xml:space="preserve"> </w:t>
      </w:r>
      <w:r>
        <w:t xml:space="preserve">graphischer Installation gleich bei der Installation eine Option, einfach bei</w:t>
      </w:r>
      <w:r>
        <w:t xml:space="preserve"> </w:t>
      </w:r>
      <w:r>
        <w:t xml:space="preserve">der Installation auswählen.</w:t>
      </w:r>
    </w:p>
    <w:p>
      <w:pPr>
        <w:pStyle w:val="BodyText"/>
      </w:pPr>
      <w:r>
        <w:t xml:space="preserve">Einen guten Überblick über Full Disk Encryption sowie Installations-Anleitungen,</w:t>
      </w:r>
      <w:r>
        <w:t xml:space="preserve"> </w:t>
      </w:r>
      <w:r>
        <w:t xml:space="preserve">die sich auf alle anderen Linux-Distributionen übertragen lassen bietet das Arch</w:t>
      </w:r>
      <w:r>
        <w:t xml:space="preserve"> </w:t>
      </w:r>
      <w:r>
        <w:t xml:space="preserve">Wiki</w:t>
      </w:r>
      <w:r>
        <w:t xml:space="preserve"> </w:t>
      </w:r>
      <w:r>
        <w:t xml:space="preserve">[5]</w:t>
      </w:r>
    </w:p>
    <w:p>
      <w:pPr>
        <w:pStyle w:val="Heading4"/>
      </w:pPr>
      <w:bookmarkStart w:id="58" w:name="ordner-verschlüsselung"/>
      <w:r>
        <w:t xml:space="preserve">Ordner-Verschlüsselung</w:t>
      </w:r>
      <w:bookmarkEnd w:id="58"/>
    </w:p>
    <w:p>
      <w:pPr>
        <w:pStyle w:val="FirstParagraph"/>
      </w:pPr>
      <w:r>
        <w:t xml:space="preserve">Windows 10:</w:t>
      </w:r>
    </w:p>
    <w:p>
      <w:pPr>
        <w:pStyle w:val="Compact"/>
        <w:numPr>
          <w:numId w:val="1012"/>
          <w:ilvl w:val="0"/>
        </w:numPr>
      </w:pPr>
      <w:r>
        <w:t xml:space="preserve">Rechtsclick auf den Ordner der verschlüsselt werden soll</w:t>
      </w:r>
    </w:p>
    <w:p>
      <w:pPr>
        <w:pStyle w:val="Compact"/>
        <w:numPr>
          <w:numId w:val="1012"/>
          <w:ilvl w:val="0"/>
        </w:numPr>
      </w:pPr>
      <w:r>
        <w:t xml:space="preserve">Dann auf Allgemein &gt; Erweitert</w:t>
      </w:r>
    </w:p>
    <w:p>
      <w:pPr>
        <w:pStyle w:val="Compact"/>
        <w:numPr>
          <w:numId w:val="1012"/>
          <w:ilvl w:val="0"/>
        </w:numPr>
      </w:pPr>
      <w:r>
        <w:t xml:space="preserve">Inhalt verschlüsseln auswählen, angeben, dass auch alle untergeordneten Odner</w:t>
      </w:r>
      <w:r>
        <w:t xml:space="preserve"> </w:t>
      </w:r>
      <w:r>
        <w:t xml:space="preserve">verschlüsselt werden sollen.</w:t>
      </w:r>
    </w:p>
    <w:p>
      <w:pPr>
        <w:pStyle w:val="FirstParagraph"/>
      </w:pPr>
      <w:r>
        <w:t xml:space="preserve">Die Verschlüsselung ist im Windows-Benutzerkonto gespeichert, wenn man bei</w:t>
      </w:r>
      <w:r>
        <w:t xml:space="preserve"> </w:t>
      </w:r>
      <w:r>
        <w:t xml:space="preserve">Windows angemledet ist muss man also kein weiteres Passwort eingeben, der</w:t>
      </w:r>
      <w:r>
        <w:t xml:space="preserve"> </w:t>
      </w:r>
      <w:r>
        <w:t xml:space="preserve">Zugriff ist jedoch auch nur mit diesem Benutzerkonto möglich.</w:t>
      </w:r>
    </w:p>
    <w:p>
      <w:pPr>
        <w:pStyle w:val="Heading4"/>
      </w:pPr>
      <w:bookmarkStart w:id="59" w:name="passwort-manager"/>
      <w:r>
        <w:t xml:space="preserve">Passwort Manager</w:t>
      </w:r>
      <w:bookmarkEnd w:id="59"/>
    </w:p>
    <w:p>
      <w:pPr>
        <w:pStyle w:val="FirstParagraph"/>
      </w:pPr>
      <w:r>
        <w:t xml:space="preserve">Als Passwort-Manager bietet sich KeePass an. Hier werden die Passwörter in einer</w:t>
      </w:r>
      <w:r>
        <w:t xml:space="preserve"> </w:t>
      </w:r>
      <w:r>
        <w:t xml:space="preserve">standardisierten Passwortdatenbank gespeichert die von KeePass und anderen</w:t>
      </w:r>
      <w:r>
        <w:t xml:space="preserve"> </w:t>
      </w:r>
      <w:r>
        <w:t xml:space="preserve">Programmen geöffnet werden kann.</w:t>
      </w:r>
    </w:p>
    <w:p>
      <w:pPr>
        <w:pStyle w:val="BodyText"/>
      </w:pPr>
      <w:r>
        <w:t xml:space="preserve">KeePass kann</w:t>
      </w:r>
      <w:r>
        <w:t xml:space="preserve"> </w:t>
      </w:r>
      <w:hyperlink r:id="rId60">
        <w:r>
          <w:rPr>
            <w:rStyle w:val="Hyperlink"/>
          </w:rPr>
          <w:t xml:space="preserve">hier</w:t>
        </w:r>
      </w:hyperlink>
      <w:r>
        <w:t xml:space="preserve"> </w:t>
      </w:r>
      <w:r>
        <w:t xml:space="preserve">heruntergeladen werden, bzw. bei den</w:t>
      </w:r>
      <w:r>
        <w:t xml:space="preserve"> </w:t>
      </w:r>
      <w:r>
        <w:t xml:space="preserve">meisten Linux-Distributionen über den Paketmanager installiert werden.</w:t>
      </w:r>
    </w:p>
    <w:p>
      <w:pPr>
        <w:pStyle w:val="BodyText"/>
      </w:pPr>
      <w:r>
        <w:t xml:space="preserve">Für Android gibt es die App KeePass-Offline im offiziellen Google Store sowie</w:t>
      </w:r>
      <w:r>
        <w:t xml:space="preserve"> </w:t>
      </w:r>
      <w:r>
        <w:t xml:space="preserve">KeePass im F-Droid store.</w:t>
      </w:r>
    </w:p>
    <w:p>
      <w:pPr>
        <w:pStyle w:val="BodyText"/>
      </w:pPr>
      <w:r>
        <w:t xml:space="preserve">KeePass Dateien können dann z.b. als Dateien synchronisiert werden, wenn das</w:t>
      </w:r>
      <w:r>
        <w:t xml:space="preserve"> </w:t>
      </w:r>
      <w:r>
        <w:t xml:space="preserve">Handy als Laufwerk angeschlossen ist.</w:t>
      </w:r>
    </w:p>
    <w:p>
      <w:pPr>
        <w:pStyle w:val="Heading2"/>
      </w:pPr>
      <w:bookmarkStart w:id="61" w:name="referenzen"/>
      <w:r>
        <w:t xml:space="preserve">Referenzen</w:t>
      </w:r>
      <w:bookmarkEnd w:id="61"/>
    </w:p>
    <w:bookmarkStart w:id="72" w:name="refs"/>
    <w:bookmarkStart w:id="63" w:name="ref-DSGVO"/>
    <w:p>
      <w:pPr>
        <w:pStyle w:val="Bibliography"/>
      </w:pPr>
      <w:r>
        <w:t xml:space="preserve">[1] Europäisches Parlament, “REGULATION (eu) 2016/679 of the european parliament and of the council (gdpr).”</w:t>
      </w:r>
      <w:r>
        <w:t xml:space="preserve"> </w:t>
      </w:r>
      <w:hyperlink r:id="rId62">
        <w:r>
          <w:rPr>
            <w:rStyle w:val="Hyperlink"/>
          </w:rPr>
          <w:t xml:space="preserve">https://eur-lex.europa.eu/legal-content/EN/TXT/?uri=CELEX:32016R0679</w:t>
        </w:r>
      </w:hyperlink>
      <w:r>
        <w:t xml:space="preserve">, 2016.</w:t>
      </w:r>
    </w:p>
    <w:bookmarkEnd w:id="63"/>
    <w:bookmarkStart w:id="65" w:name="ref-DSG1999"/>
    <w:p>
      <w:pPr>
        <w:pStyle w:val="Bibliography"/>
      </w:pPr>
      <w:r>
        <w:t xml:space="preserve">[2] Österreichischer Nationalrat, “Bundesgesetz zum schutz natürlicher personen bei der verarbeitung personenbezogener daten (datenschutzgesetz – dsg).”</w:t>
      </w:r>
      <w:r>
        <w:t xml:space="preserve"> </w:t>
      </w:r>
      <w:hyperlink r:id="rId64">
        <w:r>
          <w:rPr>
            <w:rStyle w:val="Hyperlink"/>
          </w:rPr>
          <w:t xml:space="preserve">https://www.ris.bka.gv.at/GeltendeFassung.wxe?Abfrage=Bundesnormen&amp;Gesetzesnummer=10001597</w:t>
        </w:r>
      </w:hyperlink>
      <w:r>
        <w:t xml:space="preserve">, 1999.</w:t>
      </w:r>
    </w:p>
    <w:bookmarkEnd w:id="65"/>
    <w:bookmarkStart w:id="67" w:name="ref-HSG2014"/>
    <w:p>
      <w:pPr>
        <w:pStyle w:val="Bibliography"/>
      </w:pPr>
      <w:r>
        <w:t xml:space="preserve">[3] Österreichischer Nationalrat, “Bundesgesetz über die vertretung der studierenden (hochschülerinnen- und hochschülerschaftsgesetz 2014 – hsg 2014).”</w:t>
      </w:r>
      <w:r>
        <w:t xml:space="preserve"> </w:t>
      </w:r>
      <w:hyperlink r:id="rId66">
        <w:r>
          <w:rPr>
            <w:rStyle w:val="Hyperlink"/>
          </w:rPr>
          <w:t xml:space="preserve">https://www.ris.bka.gv.at/GeltendeFassung.wxe?Abfrage=Bundesnormen&amp;Gesetzesnummer=20008892</w:t>
        </w:r>
      </w:hyperlink>
      <w:r>
        <w:t xml:space="preserve">, 2014.</w:t>
      </w:r>
    </w:p>
    <w:bookmarkEnd w:id="67"/>
    <w:bookmarkStart w:id="69" w:name="ref-7zip"/>
    <w:p>
      <w:pPr>
        <w:pStyle w:val="Bibliography"/>
      </w:pPr>
      <w:r>
        <w:t xml:space="preserve">[4] Pavlov, Igor, “7zip.”</w:t>
      </w:r>
      <w:r>
        <w:t xml:space="preserve"> </w:t>
      </w:r>
      <w:hyperlink r:id="rId68">
        <w:r>
          <w:rPr>
            <w:rStyle w:val="Hyperlink"/>
          </w:rPr>
          <w:t xml:space="preserve">https://www.7-zip.org/</w:t>
        </w:r>
      </w:hyperlink>
      <w:r>
        <w:t xml:space="preserve">.</w:t>
      </w:r>
    </w:p>
    <w:bookmarkEnd w:id="69"/>
    <w:bookmarkStart w:id="71" w:name="ref-ArchWikiDMcrpyt"/>
    <w:p>
      <w:pPr>
        <w:pStyle w:val="Bibliography"/>
      </w:pPr>
      <w:r>
        <w:t xml:space="preserve">[5] Arch Wiki Contributors, “Arch wiki: Dm-crypt/encrypting an entire system.”</w:t>
      </w:r>
      <w:r>
        <w:t xml:space="preserve"> </w:t>
      </w:r>
      <w:hyperlink r:id="rId70">
        <w:r>
          <w:rPr>
            <w:rStyle w:val="Hyperlink"/>
          </w:rPr>
          <w:t xml:space="preserve">https://wiki.archlinux.org/index.php/Dm-crypt/Encrypting_an_entire_system</w:t>
        </w:r>
      </w:hyperlink>
      <w:r>
        <w:t xml:space="preserve">, 2018.</w:t>
      </w:r>
    </w:p>
    <w:bookmarkEnd w:id="71"/>
    <w:bookmarkEnd w:id="7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2" Target="https://eur-lex.europa.eu/legal-content/EN/TXT/?uri=CELEX:32016R0679" TargetMode="External" /><Relationship Type="http://schemas.openxmlformats.org/officeDocument/2006/relationships/hyperlink" Id="rId60" Target="https://keepass.info/" TargetMode="External" /><Relationship Type="http://schemas.openxmlformats.org/officeDocument/2006/relationships/hyperlink" Id="rId70" Target="https://wiki.archlinux.org/index.php/Dm-crypt/Encrypting_an_entire_system" TargetMode="External" /><Relationship Type="http://schemas.openxmlformats.org/officeDocument/2006/relationships/hyperlink" Id="rId68" Target="https://www.7-zip.org/" TargetMode="External" /><Relationship Type="http://schemas.openxmlformats.org/officeDocument/2006/relationships/hyperlink" Id="rId64" Target="https://www.ris.bka.gv.at/GeltendeFassung.wxe?Abfrage=Bundesnormen&amp;Gesetzesnummer=10001597" TargetMode="External" /><Relationship Type="http://schemas.openxmlformats.org/officeDocument/2006/relationships/hyperlink" Id="rId66" Target="https://www.ris.bka.gv.at/GeltendeFassung.wxe?Abfrage=Bundesnormen&amp;Gesetzesnummer=20008892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62" Target="https://eur-lex.europa.eu/legal-content/EN/TXT/?uri=CELEX:32016R0679" TargetMode="External" /><Relationship Type="http://schemas.openxmlformats.org/officeDocument/2006/relationships/hyperlink" Id="rId60" Target="https://keepass.info/" TargetMode="External" /><Relationship Type="http://schemas.openxmlformats.org/officeDocument/2006/relationships/hyperlink" Id="rId70" Target="https://wiki.archlinux.org/index.php/Dm-crypt/Encrypting_an_entire_system" TargetMode="External" /><Relationship Type="http://schemas.openxmlformats.org/officeDocument/2006/relationships/hyperlink" Id="rId68" Target="https://www.7-zip.org/" TargetMode="External" /><Relationship Type="http://schemas.openxmlformats.org/officeDocument/2006/relationships/hyperlink" Id="rId64" Target="https://www.ris.bka.gv.at/GeltendeFassung.wxe?Abfrage=Bundesnormen&amp;Gesetzesnummer=10001597" TargetMode="External" /><Relationship Type="http://schemas.openxmlformats.org/officeDocument/2006/relationships/hyperlink" Id="rId66" Target="https://www.ris.bka.gv.at/GeltendeFassung.wxe?Abfrage=Bundesnormen&amp;Gesetzesnummer=2000889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2019-02-08T15:59:23Z</dcterms:created>
  <dcterms:modified xsi:type="dcterms:W3CDTF">2019-02-08T15:59:23Z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